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FCF" w:rsidRPr="00333FCF" w:rsidRDefault="00333FCF" w:rsidP="00333FCF">
      <w:pPr>
        <w:shd w:val="clear" w:color="auto" w:fill="FFFFFF"/>
        <w:spacing w:after="0" w:line="720" w:lineRule="atLeast"/>
        <w:textAlignment w:val="bottom"/>
        <w:outlineLvl w:val="0"/>
        <w:rPr>
          <w:rFonts w:ascii="Open Sans" w:eastAsia="Times New Roman" w:hAnsi="Open Sans" w:cs="Open Sans"/>
          <w:b/>
          <w:bCs/>
          <w:color w:val="526371"/>
          <w:kern w:val="36"/>
          <w:sz w:val="66"/>
          <w:szCs w:val="66"/>
          <w:lang w:eastAsia="ru-RU"/>
        </w:rPr>
      </w:pPr>
      <w:r w:rsidRPr="00333FCF">
        <w:rPr>
          <w:rFonts w:ascii="Open Sans" w:eastAsia="Times New Roman" w:hAnsi="Open Sans" w:cs="Open Sans"/>
          <w:b/>
          <w:bCs/>
          <w:color w:val="526371"/>
          <w:kern w:val="36"/>
          <w:sz w:val="66"/>
          <w:szCs w:val="66"/>
          <w:bdr w:val="none" w:sz="0" w:space="0" w:color="auto" w:frame="1"/>
          <w:lang w:eastAsia="ru-RU"/>
        </w:rPr>
        <w:t>Критерии доступности и качества медицинской помощи</w:t>
      </w:r>
    </w:p>
    <w:p w:rsidR="00333FCF" w:rsidRPr="00333FCF" w:rsidRDefault="00333FCF" w:rsidP="00333FCF">
      <w:pPr>
        <w:shd w:val="clear" w:color="auto" w:fill="FFFFFF"/>
        <w:spacing w:after="100" w:line="240" w:lineRule="auto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hyperlink r:id="rId4" w:history="1">
        <w:r w:rsidRPr="00333FCF">
          <w:rPr>
            <w:rFonts w:ascii="Open Sans" w:eastAsia="Times New Roman" w:hAnsi="Open Sans" w:cs="Open Sans"/>
            <w:color w:val="E8F7E1"/>
            <w:sz w:val="38"/>
            <w:szCs w:val="38"/>
            <w:bdr w:val="none" w:sz="0" w:space="0" w:color="auto" w:frame="1"/>
            <w:lang w:eastAsia="ru-RU"/>
          </w:rPr>
          <w:t></w:t>
        </w:r>
      </w:hyperlink>
      <w:hyperlink r:id="rId5" w:history="1">
        <w:r w:rsidRPr="00333FCF">
          <w:rPr>
            <w:rFonts w:ascii="Open Sans" w:eastAsia="Times New Roman" w:hAnsi="Open Sans" w:cs="Open Sans"/>
            <w:color w:val="E8F7E1"/>
            <w:sz w:val="33"/>
            <w:szCs w:val="33"/>
            <w:bdr w:val="none" w:sz="0" w:space="0" w:color="auto" w:frame="1"/>
            <w:lang w:eastAsia="ru-RU"/>
          </w:rPr>
          <w:t></w:t>
        </w:r>
      </w:hyperlink>
      <w:hyperlink r:id="rId6" w:history="1">
        <w:r w:rsidRPr="00333FCF">
          <w:rPr>
            <w:rFonts w:ascii="Open Sans" w:eastAsia="Times New Roman" w:hAnsi="Open Sans" w:cs="Open Sans"/>
            <w:color w:val="E8F7E1"/>
            <w:sz w:val="38"/>
            <w:szCs w:val="38"/>
            <w:bdr w:val="none" w:sz="0" w:space="0" w:color="auto" w:frame="1"/>
            <w:lang w:eastAsia="ru-RU"/>
          </w:rPr>
          <w:t></w:t>
        </w:r>
      </w:hyperlink>
    </w:p>
    <w:p w:rsidR="00333FCF" w:rsidRPr="00333FCF" w:rsidRDefault="00333FCF" w:rsidP="00333FC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inherit" w:eastAsia="Times New Roman" w:hAnsi="inherit" w:cs="Open Sans"/>
          <w:b/>
          <w:bCs/>
          <w:color w:val="898989"/>
          <w:sz w:val="20"/>
          <w:szCs w:val="20"/>
          <w:bdr w:val="none" w:sz="0" w:space="0" w:color="auto" w:frame="1"/>
          <w:lang w:eastAsia="ru-RU"/>
        </w:rPr>
        <w:t xml:space="preserve">Критериями доступности и качества медицинской </w:t>
      </w:r>
      <w:proofErr w:type="spellStart"/>
      <w:proofErr w:type="gramStart"/>
      <w:r w:rsidRPr="00333FCF">
        <w:rPr>
          <w:rFonts w:ascii="inherit" w:eastAsia="Times New Roman" w:hAnsi="inherit" w:cs="Open Sans"/>
          <w:b/>
          <w:bCs/>
          <w:color w:val="898989"/>
          <w:sz w:val="20"/>
          <w:szCs w:val="20"/>
          <w:bdr w:val="none" w:sz="0" w:space="0" w:color="auto" w:frame="1"/>
          <w:lang w:eastAsia="ru-RU"/>
        </w:rPr>
        <w:t>помощи:</w:t>
      </w: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удовлетворенность</w:t>
      </w:r>
      <w:proofErr w:type="spellEnd"/>
      <w:proofErr w:type="gramEnd"/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 xml:space="preserve"> населения медицинской помощью на 2017 — 2019 годы — не менее 66,5 процента, в том числе: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городского населения — не менее 66,5 процента;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сельского населения — не менее 66,5 процента;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смертность населения от болезней системы кровообращения (число умерших от болезней системы кровообращения на 100 тыс. человек населения) в 2017 году — не более 705,0 случая, в том числе: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городского — не более 709,5 случая;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сельского — не более 684,6 случая;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смертность населения от болезней системы кровообращения (число умерших от болезней системы кровообращения на 100 тыс. человек населения) в 2018 году — не более 649,4 случая,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в 2019 году — 625,5 случая,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смертность населения от новообразований, в том числе злокачественных (число умерших от новообразований, в том числе злокачественных, на 100 тыс. человек населения), 2017 году — не более 201,3 случая, в том числе: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городского — не более 204,7 случая;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сельского — не более 194,5 случая;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смертность населения от новообразований, в том числе злокачественных (число умерших от новообразований, в том числе злокачественных, на 100 тыс. человек населения),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2018 году — не более 192,8 случая,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в 2019 году — не более 190,0 случая,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смертность населения от туберкулеза (случаев на 100 тыс. человек населения) в 2017 году — не более 5,7 случая, в том числе: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lastRenderedPageBreak/>
        <w:t>городского — не более 5,8 случая;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сельского — не более 5,0 случая;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смертность населения от туберкулеза (случаев на 100 тыс. человек населения) в 2018 году — не более 5,5 случая,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в 2019 году — не более 5,3 случая,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смертность населения в трудоспособном возрасте (число умерших в трудоспособном возрасте на 100 тыс. человек населения) на 2017 — 2019 годы — не более 487,2 случая;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смертность населения трудоспособного возраста от болезней системы кровообращения (число умерших от болезней системы кровообращения в трудоспособном возрасте на 100 тыс. человек населения) на 2017 — 2019 годы — не более 158,8 случая;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доля умерших в трудоспособном возрасте на дому в общем количестве умерших в трудоспособном возрасте на 2017 — 2019 годы — не более 17,0 процента;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материнская смертность (на 100 тыс. родившихся живыми) 2017 — 2019 годы — не более 8,7 случая;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младенческая смертность (на 1000 родившихся живыми, в том числе в городской и сельской местности) в 2017 году — не более 4,6 случая, в том числе: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городского — не более 4,9 случая;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сельского — не более 3,0 случая;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младенческая смертность (на 1000 родившихся живыми, в том числе в городской и сельской местности) в 2018 году — не более 4,5 случая, в 2019 году — не более 4,3 случая,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доля умерших в возрасте до 1 года на дому в общем количестве умерших в возрасте до 1 года на 2017 — 2019 годы — не более 5,5 процента;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смертность детей в возрасте 0 — 4 лет (на 100 тыс. человек населения соответствующего возраста) на 2017 — 2019 годы — не более 140,0 случая;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доля умерших в возрасте 0 — 4 лет на дому в общем количестве умерших в возрасте 0-4 лет на 2017 — 2019 годы — не более 7,1 процента;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смертность детей в возрасте 0 — 17 лет (на 100 тыс. человек населения соответствующего возраста) в 2017 году — не более 70,0 случая;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смертность детей в возрасте 0 — 17 лет (на 100 тыс. человек населения соответствующего возраста) в 2018 году — не более 69,0 случая;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в 2019 году — не более 68,5 случая,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lastRenderedPageBreak/>
        <w:t>доля умерших в возрасте 0 — 17 лет на дому в общем количестве умерших в возрасте 0-17 лет на 2017 — 2019 годы — не более 10,1 процента;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доля пациентов, больных злокачественными новообразованиями, состоящих на учете с момента установления диагноза 5 лет и более, в общем числе пациентов со злокачественными новообразованиями, состоящих на учете, на 2017 — 2019 годы — не менее 55,6 процента;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доля впервые выявленных случаев фиброзно-кавернозного туберкулеза в общем количестве случаев туберкулеза в течение года на 2017 — 2019 годы — не более 2,0 процента;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доля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течение года на 2017 — 2019 годы — не менее 53,12 процента;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доля пациентов с инфарктом миокарда, госпитализированных в первые 6 часов от начала заболеваний, в общем количестве госпитализированных пациентов с инфарктом миокарда на 2017 — 2019 годы — не менее 50,0 процента;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 xml:space="preserve">доля пациентов с острым инфарктом, которым проведена </w:t>
      </w:r>
      <w:proofErr w:type="spellStart"/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тромболитическая</w:t>
      </w:r>
      <w:proofErr w:type="spellEnd"/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 xml:space="preserve"> терапия, в общем количестве пациентов с острым инфарктом миокарда на 2017 — 2019 годы — не менее 26,0 процента;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 xml:space="preserve">доля пациентов с острым инфарктом миокарда, которым проведено </w:t>
      </w:r>
      <w:proofErr w:type="spellStart"/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стентирование</w:t>
      </w:r>
      <w:proofErr w:type="spellEnd"/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 xml:space="preserve"> корональных артерий, в общем количестве пациентов с острым инфарктом миокарда на 2017 — 2019 годы — не менее 25 процента;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 xml:space="preserve">доля пациентов с острым и повторным инфарктом миокарда, которым выездной бригадой скорой медицинской помощи проведен </w:t>
      </w:r>
      <w:proofErr w:type="spellStart"/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тромболиз</w:t>
      </w:r>
      <w:proofErr w:type="spellEnd"/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 xml:space="preserve"> в общем количестве пациентов с острыми и повторным инфарктом миокард, которым оказана медицинская помощь выездными бригадами скорой медицинской помощи, на 2017 — 2019 годы не менее 15,0 процента;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доля пациентов с острым цереброваскулярным болезнями, госпитализированных в первые 6 часов от начала заболевания, в общем количестве госпитализированных пациентов с острыми цереброваскулярными болезнями на 2017 — 2019 годы — 35,0 процента;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 xml:space="preserve">доля пациентов с острым ишемическим инсультом, которым проведена </w:t>
      </w:r>
      <w:proofErr w:type="spellStart"/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тромболитическая</w:t>
      </w:r>
      <w:proofErr w:type="spellEnd"/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 xml:space="preserve"> терапия в первые 6 часов госпитализации, в общем количестве пациентов с острым ишемическим инсультом на 2017 — 2019 годы — не менее 2,1 процента;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количество обоснованных жалоб, в том числе на отказ в оказании медицинской помощи, представляемой в рамках Московской областной программы, на 2017 — 2019 годы — 0,003 на 1000 человек населения;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обеспеченность населения врачами (включая городское и сельское население) на 2017 — 2019 годы — не менее 32,4 на 10 тыс. человек населения, в том числе оказывающими медицинскую помощь: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в амбулаторных условиях — не менее 18,3 на 10 тыс. человек населения;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lastRenderedPageBreak/>
        <w:t>в стационарных условиях — не менее 10,5 на 10 тыс. человек населения;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обеспеченность населения средним медицинским персоналом (включая городское и сельское население) на 2017 — 2019 годы — не менее 66,4 на 10 тыс. человек населения, в том числе оказывающим медицинскую помощь: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в амбулаторных условиях — не менее 32,6 на 10 тыс. человек населения;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в стационарных условиях — не менее 30,9 на 10 тыс. человек населения;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средняя длительность лечения в медицинских организациях, оказывающих медицинскую помощь в стационарных условиях, в среднем по Московской области на 2017 — 2019 годы — не более 11,6 дня;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доля расходов на оказание медицинской помощи в условиях дневных стационаров в общих расходах на Московскую областную программу на 2017 — 2019 годы — не менее 7,4 процента;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доля расходов на оказание медицинской помощи в условиях амбулаторных условиях в неотложной форме в общих расходах на Московскую областную программу на 2017 — 2019 годы — не менее 2,2 процента;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полнота охвата профилактическими осмотрами детей на 2017 — 2019 годы — не менее 93,0 процента, в том числе проживающих: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в городской местности — не менее 93,0 процента;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в сельской местности — не менее 93,0 процента; доля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медицинская помощь в стационарных условиях в рамках Программы ОМС, на 2017 — 2019 годы — не менее 10,1 процента;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число лиц, проживающих в сельской местности, которым оказана скорая медицинская помощь, на 1000 человек сельского населения на 2017 — 2019 годы — не более 389,0 случая;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доля фельдшерско-акушерских пунктов и фельдшерских пунктов, находящихся в аварийном состоянии и требующих капитального ремонта, в общем количестве фельдшерско-акушерских пунктов и фельдшерских пунктов на 2017 — 2019 годы — не более 30,0 процента.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Эффективность деятельности медицинских организаций на 2017 — 2019 годы: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выполнение функции врачебной должности не менее 3860 посещения, в том числе расположенных: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в городской местности — не менее 3615 посещения;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в сельской местности — не менее 3980 посещения;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lastRenderedPageBreak/>
        <w:t>показатели рационального и целевого использования коечного фонда на 2017 — 2019 год число работы койки в году — не менее 332 дня, в том числе расположенных: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в городской местности — не менее 331,2 дня;</w:t>
      </w:r>
    </w:p>
    <w:p w:rsidR="00333FCF" w:rsidRPr="00333FCF" w:rsidRDefault="00333FCF" w:rsidP="00333FCF">
      <w:pPr>
        <w:shd w:val="clear" w:color="auto" w:fill="FFFFFF"/>
        <w:spacing w:before="288" w:after="288" w:line="300" w:lineRule="atLeast"/>
        <w:textAlignment w:val="baseline"/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</w:pPr>
      <w:r w:rsidRPr="00333FCF">
        <w:rPr>
          <w:rFonts w:ascii="Open Sans" w:eastAsia="Times New Roman" w:hAnsi="Open Sans" w:cs="Open Sans"/>
          <w:color w:val="898989"/>
          <w:sz w:val="20"/>
          <w:szCs w:val="20"/>
          <w:lang w:eastAsia="ru-RU"/>
        </w:rPr>
        <w:t>в сельской местности — не менее 341,0 дня.</w:t>
      </w:r>
    </w:p>
    <w:p w:rsidR="00746D1E" w:rsidRDefault="00746D1E">
      <w:bookmarkStart w:id="0" w:name="_GoBack"/>
      <w:bookmarkEnd w:id="0"/>
    </w:p>
    <w:sectPr w:rsidR="00746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6B"/>
    <w:rsid w:val="00333FCF"/>
    <w:rsid w:val="00746D1E"/>
    <w:rsid w:val="00E9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0940E-8D18-4C93-ACF5-5A718904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08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6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5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ADADE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1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8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1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97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4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linzdrav.info/poryadok-i-usloviya-okazaniya-meditsinskoj-pomoshhi/" TargetMode="External"/><Relationship Id="rId5" Type="http://schemas.openxmlformats.org/officeDocument/2006/relationships/hyperlink" Target="https://klinzdrav.info/category/novosti/" TargetMode="External"/><Relationship Id="rId4" Type="http://schemas.openxmlformats.org/officeDocument/2006/relationships/hyperlink" Target="https://klinzdrav.info/vidy-meditsinskoj-pomoshh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1279</Words>
  <Characters>7294</Characters>
  <Application>Microsoft Office Word</Application>
  <DocSecurity>0</DocSecurity>
  <Lines>60</Lines>
  <Paragraphs>17</Paragraphs>
  <ScaleCrop>false</ScaleCrop>
  <Company/>
  <LinksUpToDate>false</LinksUpToDate>
  <CharactersWithSpaces>8556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 Алексей Николаевич</dc:creator>
  <cp:keywords/>
  <dc:description/>
  <cp:lastModifiedBy>Беликов Алексей Николаевич</cp:lastModifiedBy>
  <cp:revision>2</cp:revision>
  <dcterms:created xsi:type="dcterms:W3CDTF">2019-07-16T11:29:00Z</dcterms:created>
  <dcterms:modified xsi:type="dcterms:W3CDTF">2019-07-16T11:30:00Z</dcterms:modified>
</cp:coreProperties>
</file>